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71" w:rsidRPr="00A74A71" w:rsidRDefault="00A74A71" w:rsidP="00A74A71">
      <w:pPr>
        <w:pStyle w:val="NoSpacing"/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A71">
        <w:rPr>
          <w:rFonts w:ascii="Times New Roman" w:hAnsi="Times New Roman"/>
          <w:b/>
          <w:sz w:val="24"/>
          <w:szCs w:val="24"/>
        </w:rPr>
        <w:t>TATA CARA M</w:t>
      </w:r>
      <w:r w:rsidR="00AB55D2">
        <w:rPr>
          <w:rFonts w:ascii="Times New Roman" w:hAnsi="Times New Roman"/>
          <w:b/>
          <w:sz w:val="24"/>
          <w:szCs w:val="24"/>
        </w:rPr>
        <w:t>ENGKAFANI JENAZAH DAN ARTI TASAWUF</w:t>
      </w:r>
    </w:p>
    <w:p w:rsidR="00A74A71" w:rsidRPr="0091060C" w:rsidRDefault="00A74A71" w:rsidP="00A74A71">
      <w:pPr>
        <w:pStyle w:val="NoSpacing"/>
        <w:spacing w:after="20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1060C">
        <w:rPr>
          <w:rFonts w:ascii="Times New Roman" w:hAnsi="Times New Roman"/>
          <w:sz w:val="24"/>
          <w:szCs w:val="24"/>
          <w:lang w:val="id-ID"/>
        </w:rPr>
        <w:t xml:space="preserve">Diajukan untuk memenuhi tugas mata kuliah </w:t>
      </w:r>
      <w:proofErr w:type="spellStart"/>
      <w:r>
        <w:rPr>
          <w:rFonts w:ascii="Times New Roman" w:hAnsi="Times New Roman"/>
          <w:sz w:val="24"/>
          <w:szCs w:val="24"/>
        </w:rPr>
        <w:t>Ibadah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Akhlak</w:t>
      </w:r>
      <w:proofErr w:type="spellEnd"/>
      <w:r w:rsidRPr="00910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0C">
        <w:rPr>
          <w:rFonts w:ascii="Times New Roman" w:hAnsi="Times New Roman"/>
          <w:sz w:val="24"/>
          <w:szCs w:val="24"/>
        </w:rPr>
        <w:t>Hasil</w:t>
      </w:r>
      <w:proofErr w:type="spellEnd"/>
      <w:r w:rsidRPr="00910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0C">
        <w:rPr>
          <w:rFonts w:ascii="Times New Roman" w:hAnsi="Times New Roman"/>
          <w:sz w:val="24"/>
          <w:szCs w:val="24"/>
        </w:rPr>
        <w:t>Belajar</w:t>
      </w:r>
      <w:proofErr w:type="spellEnd"/>
      <w:r w:rsidRPr="0091060C">
        <w:rPr>
          <w:rFonts w:ascii="Times New Roman" w:hAnsi="Times New Roman"/>
          <w:sz w:val="24"/>
          <w:szCs w:val="24"/>
          <w:lang w:val="id-ID"/>
        </w:rPr>
        <w:t xml:space="preserve"> pada program Pendidikan Fisika</w:t>
      </w:r>
    </w:p>
    <w:p w:rsidR="00A74A71" w:rsidRPr="0091060C" w:rsidRDefault="00A74A71" w:rsidP="00A74A71">
      <w:pPr>
        <w:pStyle w:val="NoSpacing"/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91060C">
        <w:rPr>
          <w:rFonts w:ascii="Times New Roman" w:hAnsi="Times New Roman"/>
          <w:sz w:val="24"/>
          <w:szCs w:val="24"/>
          <w:lang w:val="id-ID"/>
        </w:rPr>
        <w:t xml:space="preserve">Dosen: </w:t>
      </w:r>
      <w:proofErr w:type="spellStart"/>
      <w:r>
        <w:rPr>
          <w:rFonts w:ascii="Times New Roman" w:hAnsi="Times New Roman"/>
          <w:sz w:val="24"/>
          <w:szCs w:val="24"/>
        </w:rPr>
        <w:t>Arif</w:t>
      </w:r>
      <w:proofErr w:type="spellEnd"/>
    </w:p>
    <w:p w:rsidR="00A74A71" w:rsidRPr="0091060C" w:rsidRDefault="00A74A71" w:rsidP="00A74A71">
      <w:pPr>
        <w:pStyle w:val="NoSpacing"/>
        <w:spacing w:after="20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74A71" w:rsidRPr="00A74A71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1875155</wp:posOffset>
            </wp:positionH>
            <wp:positionV relativeFrom="margin">
              <wp:posOffset>1912620</wp:posOffset>
            </wp:positionV>
            <wp:extent cx="1524000" cy="1447800"/>
            <wp:effectExtent l="19050" t="0" r="0" b="0"/>
            <wp:wrapNone/>
            <wp:docPr id="16" name="Picture 1" descr="C:\Users\user\Downloads\Lambang Uh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ambang Uh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A71" w:rsidRPr="0091060C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4A71" w:rsidRPr="0091060C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4A71" w:rsidRPr="0091060C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4A71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4A71" w:rsidRPr="00A74A71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4A71" w:rsidRPr="0091060C" w:rsidRDefault="00A74A71" w:rsidP="00A74A71">
      <w:pPr>
        <w:pStyle w:val="NoSpacing"/>
        <w:spacing w:after="20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1060C">
        <w:rPr>
          <w:rFonts w:ascii="Times New Roman" w:hAnsi="Times New Roman"/>
          <w:sz w:val="24"/>
          <w:szCs w:val="24"/>
          <w:lang w:val="id-ID"/>
        </w:rPr>
        <w:t>Disusun Oleh:</w:t>
      </w:r>
    </w:p>
    <w:p w:rsidR="00A74A71" w:rsidRPr="0091060C" w:rsidRDefault="00A74A71" w:rsidP="00A74A71">
      <w:pPr>
        <w:pStyle w:val="NoSpacing"/>
        <w:spacing w:after="200" w:line="360" w:lineRule="auto"/>
        <w:ind w:left="1440" w:firstLine="720"/>
        <w:rPr>
          <w:rFonts w:ascii="Times New Roman" w:hAnsi="Times New Roman"/>
          <w:sz w:val="24"/>
          <w:szCs w:val="24"/>
        </w:rPr>
      </w:pPr>
      <w:r w:rsidRPr="0091060C">
        <w:rPr>
          <w:rFonts w:ascii="Times New Roman" w:hAnsi="Times New Roman"/>
          <w:sz w:val="24"/>
          <w:szCs w:val="24"/>
          <w:lang w:val="id-ID"/>
        </w:rPr>
        <w:t>Muchlas Yulianto</w:t>
      </w:r>
      <w:r w:rsidRPr="0091060C">
        <w:rPr>
          <w:rFonts w:ascii="Times New Roman" w:hAnsi="Times New Roman"/>
          <w:sz w:val="24"/>
          <w:szCs w:val="24"/>
          <w:lang w:val="id-ID"/>
        </w:rPr>
        <w:tab/>
      </w:r>
      <w:r w:rsidRPr="0091060C">
        <w:rPr>
          <w:rFonts w:ascii="Times New Roman" w:hAnsi="Times New Roman"/>
          <w:sz w:val="24"/>
          <w:szCs w:val="24"/>
          <w:lang w:val="id-ID"/>
        </w:rPr>
        <w:tab/>
        <w:t>1001135038</w:t>
      </w:r>
    </w:p>
    <w:p w:rsidR="00A74A71" w:rsidRPr="0091060C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4A71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4A71" w:rsidRPr="0091060C" w:rsidRDefault="00A74A71" w:rsidP="00A74A71">
      <w:pPr>
        <w:pStyle w:val="NoSpacing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4A71" w:rsidRPr="0091060C" w:rsidRDefault="00A74A71" w:rsidP="00A74A71">
      <w:pPr>
        <w:pStyle w:val="NoSpacing"/>
        <w:spacing w:after="12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1060C">
        <w:rPr>
          <w:rFonts w:ascii="Times New Roman" w:hAnsi="Times New Roman"/>
          <w:sz w:val="24"/>
          <w:szCs w:val="24"/>
          <w:lang w:val="id-ID"/>
        </w:rPr>
        <w:t>PROGRAM STUDI PENDIDIKAN FISIKA</w:t>
      </w:r>
    </w:p>
    <w:p w:rsidR="00A74A71" w:rsidRPr="0091060C" w:rsidRDefault="00A74A71" w:rsidP="00A74A71">
      <w:pPr>
        <w:pStyle w:val="NoSpacing"/>
        <w:spacing w:after="12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1060C">
        <w:rPr>
          <w:rFonts w:ascii="Times New Roman" w:hAnsi="Times New Roman"/>
          <w:sz w:val="24"/>
          <w:szCs w:val="24"/>
          <w:lang w:val="id-ID"/>
        </w:rPr>
        <w:t>FAKULTAS KEGURUAN DAN ILMU PENDIDIKAN</w:t>
      </w:r>
    </w:p>
    <w:p w:rsidR="00A74A71" w:rsidRPr="0091060C" w:rsidRDefault="00A74A71" w:rsidP="00A74A71">
      <w:pPr>
        <w:pStyle w:val="NoSpacing"/>
        <w:spacing w:after="12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91060C">
        <w:rPr>
          <w:rFonts w:ascii="Times New Roman" w:hAnsi="Times New Roman"/>
          <w:sz w:val="24"/>
          <w:szCs w:val="24"/>
          <w:lang w:val="id-ID"/>
        </w:rPr>
        <w:t>UNIVERSITAS MUHAMADIYAH PROF DR HAMKA</w:t>
      </w:r>
    </w:p>
    <w:p w:rsidR="00A74A71" w:rsidRPr="00A74A71" w:rsidRDefault="00A74A71" w:rsidP="00A74A71">
      <w:pPr>
        <w:tabs>
          <w:tab w:val="left" w:pos="2160"/>
        </w:tabs>
        <w:spacing w:after="0" w:line="360" w:lineRule="auto"/>
        <w:ind w:left="2520" w:hanging="2520"/>
        <w:jc w:val="center"/>
        <w:rPr>
          <w:rFonts w:ascii="Times New Roman" w:hAnsi="Times New Roman" w:cs="Times New Roman"/>
          <w:sz w:val="24"/>
          <w:szCs w:val="24"/>
        </w:rPr>
      </w:pPr>
      <w:r w:rsidRPr="0091060C">
        <w:rPr>
          <w:rFonts w:ascii="Times New Roman" w:hAnsi="Times New Roman" w:cs="Times New Roman"/>
          <w:sz w:val="24"/>
          <w:szCs w:val="24"/>
          <w:lang w:val="id-ID"/>
        </w:rPr>
        <w:t>JAKARTA, 201</w:t>
      </w:r>
      <w:r w:rsidRPr="0091060C">
        <w:rPr>
          <w:rFonts w:ascii="Times New Roman" w:hAnsi="Times New Roman" w:cs="Times New Roman"/>
          <w:sz w:val="24"/>
          <w:szCs w:val="24"/>
        </w:rPr>
        <w:t>3</w:t>
      </w:r>
    </w:p>
    <w:p w:rsidR="0013205E" w:rsidRDefault="0013205E" w:rsidP="008523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Tata Cara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Memandikan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Mengkafani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Jenazah</w:t>
      </w:r>
      <w:proofErr w:type="spellEnd"/>
    </w:p>
    <w:p w:rsidR="0013205E" w:rsidRDefault="0013205E" w:rsidP="008523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5E" w:rsidRDefault="0013205E" w:rsidP="0085230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mengafani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mengkafani-nya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Mengafani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saudaranya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melaksanakannya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sunnah</w:t>
      </w:r>
      <w:proofErr w:type="spellEnd"/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mengafani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mengada-ada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05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mengkafani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mengafani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.</w:t>
      </w:r>
    </w:p>
    <w:p w:rsidR="0013205E" w:rsidRDefault="0013205E" w:rsidP="001320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5E" w:rsidRPr="0013205E" w:rsidRDefault="0013205E" w:rsidP="001320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b/>
          <w:bCs/>
          <w:sz w:val="24"/>
          <w:szCs w:val="24"/>
        </w:rPr>
        <w:t>Perlengkapan</w:t>
      </w:r>
      <w:proofErr w:type="spellEnd"/>
      <w:r w:rsidRPr="00132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b/>
          <w:bCs/>
          <w:sz w:val="24"/>
          <w:szCs w:val="24"/>
        </w:rPr>
        <w:t>Persiapan</w:t>
      </w:r>
      <w:proofErr w:type="spellEnd"/>
    </w:p>
    <w:p w:rsidR="0013205E" w:rsidRDefault="0013205E" w:rsidP="001320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mengafani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:</w:t>
      </w:r>
    </w:p>
    <w:p w:rsidR="0013205E" w:rsidRDefault="0013205E" w:rsidP="00132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mengafani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:rsidR="0013205E" w:rsidRDefault="0013205E" w:rsidP="00132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kafan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kafan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:</w:t>
      </w:r>
    </w:p>
    <w:p w:rsidR="0013205E" w:rsidRDefault="0013205E" w:rsidP="0013205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basahan</w:t>
      </w:r>
      <w:proofErr w:type="spellEnd"/>
    </w:p>
    <w:p w:rsidR="0013205E" w:rsidRDefault="0013205E" w:rsidP="0013205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kurung</w:t>
      </w:r>
      <w:proofErr w:type="spellEnd"/>
    </w:p>
    <w:p w:rsidR="0013205E" w:rsidRDefault="0013205E" w:rsidP="0013205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Kerudung</w:t>
      </w:r>
      <w:proofErr w:type="spellEnd"/>
    </w:p>
    <w:p w:rsidR="0013205E" w:rsidRDefault="0013205E" w:rsidP="0013205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.</w:t>
      </w:r>
    </w:p>
    <w:p w:rsidR="0013205E" w:rsidRDefault="0013205E" w:rsidP="00132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sebagaiberikut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:</w:t>
      </w:r>
    </w:p>
    <w:p w:rsidR="0013205E" w:rsidRDefault="0013205E" w:rsidP="0013205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3, 5,7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:</w:t>
      </w:r>
    </w:p>
    <w:p w:rsidR="0013205E" w:rsidRDefault="0013205E" w:rsidP="0013205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Ujungkepala</w:t>
      </w:r>
      <w:proofErr w:type="spellEnd"/>
    </w:p>
    <w:p w:rsidR="0013205E" w:rsidRDefault="0013205E" w:rsidP="0013205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Leher</w:t>
      </w:r>
      <w:proofErr w:type="spellEnd"/>
    </w:p>
    <w:p w:rsidR="0013205E" w:rsidRDefault="0013205E" w:rsidP="0013205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Pinggang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13205E" w:rsidRDefault="0013205E" w:rsidP="0013205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Perut</w:t>
      </w:r>
      <w:proofErr w:type="spellEnd"/>
    </w:p>
    <w:p w:rsidR="0013205E" w:rsidRDefault="0013205E" w:rsidP="0013205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lastRenderedPageBreak/>
        <w:t>Lutut</w:t>
      </w:r>
      <w:proofErr w:type="spellEnd"/>
    </w:p>
    <w:p w:rsidR="0013205E" w:rsidRDefault="0013205E" w:rsidP="0013205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kaki</w:t>
      </w:r>
    </w:p>
    <w:p w:rsidR="0013205E" w:rsidRDefault="0013205E" w:rsidP="0013205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Ujung kaki</w:t>
      </w:r>
    </w:p>
    <w:p w:rsidR="0013205E" w:rsidRDefault="0013205E" w:rsidP="0013205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secukupnya</w:t>
      </w:r>
      <w:proofErr w:type="spellEnd"/>
    </w:p>
    <w:p w:rsidR="0013205E" w:rsidRDefault="0013205E" w:rsidP="0013205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barus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pewangi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.</w:t>
      </w:r>
    </w:p>
    <w:p w:rsidR="0013205E" w:rsidRDefault="0013205E" w:rsidP="00132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memanjang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searah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tali-tali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613D19" w:rsidRDefault="0013205E" w:rsidP="001320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aturlah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mukena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basahan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letaknya</w:t>
      </w:r>
      <w:proofErr w:type="spellEnd"/>
    </w:p>
    <w:p w:rsidR="00613D19" w:rsidRDefault="00613D19" w:rsidP="00613D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5E" w:rsidRPr="00613D19" w:rsidRDefault="0013205E" w:rsidP="00613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D19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613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b/>
          <w:bCs/>
          <w:sz w:val="24"/>
          <w:szCs w:val="24"/>
        </w:rPr>
        <w:t>Mengkafani</w:t>
      </w:r>
      <w:proofErr w:type="spellEnd"/>
      <w:r w:rsidRPr="00613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b/>
          <w:bCs/>
          <w:sz w:val="24"/>
          <w:szCs w:val="24"/>
        </w:rPr>
        <w:t>Jenazah</w:t>
      </w:r>
      <w:proofErr w:type="spellEnd"/>
    </w:p>
    <w:p w:rsidR="00613D19" w:rsidRDefault="0013205E" w:rsidP="00613D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dimulailah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mengafani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:</w:t>
      </w:r>
    </w:p>
    <w:p w:rsidR="0086676D" w:rsidRDefault="0013205E" w:rsidP="00132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D19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membujur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kafan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selubung</w:t>
      </w:r>
      <w:proofErr w:type="spellEnd"/>
      <w:r w:rsidRPr="006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D19">
        <w:rPr>
          <w:rFonts w:ascii="Times New Roman" w:hAnsi="Times New Roman" w:cs="Times New Roman"/>
          <w:sz w:val="24"/>
          <w:szCs w:val="24"/>
        </w:rPr>
        <w:t>kain</w:t>
      </w:r>
      <w:proofErr w:type="spellEnd"/>
    </w:p>
    <w:p w:rsidR="0086676D" w:rsidRDefault="0013205E" w:rsidP="00132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76D">
        <w:rPr>
          <w:rFonts w:ascii="Times New Roman" w:hAnsi="Times New Roman" w:cs="Times New Roman"/>
          <w:sz w:val="24"/>
          <w:szCs w:val="24"/>
        </w:rPr>
        <w:t>Lepaskan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selubung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aurat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tertutup</w:t>
      </w:r>
      <w:proofErr w:type="spellEnd"/>
    </w:p>
    <w:p w:rsidR="0086676D" w:rsidRDefault="0013205E" w:rsidP="00132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tutuplah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lubang-lubang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cairan</w:t>
      </w:r>
      <w:proofErr w:type="spellEnd"/>
    </w:p>
    <w:p w:rsidR="0086676D" w:rsidRDefault="0013205E" w:rsidP="00132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) lapis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diikat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simpul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kiri</w:t>
      </w:r>
      <w:proofErr w:type="spellEnd"/>
    </w:p>
    <w:p w:rsidR="0086676D" w:rsidRDefault="0013205E" w:rsidP="00132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berambut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rambutnya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dikepang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</w:p>
    <w:p w:rsidR="0086676D" w:rsidRDefault="0013205E" w:rsidP="00132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kenakan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pakaikan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) 5 (lima) lapis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kerudung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basahan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aurat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diikat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simpul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kiri</w:t>
      </w:r>
      <w:proofErr w:type="spellEnd"/>
    </w:p>
    <w:p w:rsidR="00852305" w:rsidRDefault="0013205E" w:rsidP="001320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76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wewangian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676D">
        <w:rPr>
          <w:rFonts w:ascii="Times New Roman" w:hAnsi="Times New Roman" w:cs="Times New Roman"/>
          <w:sz w:val="24"/>
          <w:szCs w:val="24"/>
        </w:rPr>
        <w:t>diukup</w:t>
      </w:r>
      <w:proofErr w:type="spellEnd"/>
      <w:r w:rsidRPr="0086676D">
        <w:rPr>
          <w:rFonts w:ascii="Times New Roman" w:hAnsi="Times New Roman" w:cs="Times New Roman"/>
          <w:sz w:val="24"/>
          <w:szCs w:val="24"/>
        </w:rPr>
        <w:t>).</w:t>
      </w:r>
    </w:p>
    <w:p w:rsidR="0013205E" w:rsidRPr="0013205E" w:rsidRDefault="0013205E" w:rsidP="008523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30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ketetuan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30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852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2305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lastRenderedPageBreak/>
        <w:t>boleh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mengada-ada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 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sunah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.</w:t>
      </w:r>
    </w:p>
    <w:p w:rsidR="0013205E" w:rsidRDefault="0013205E" w:rsidP="00132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05" w:rsidRDefault="00852305" w:rsidP="001320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05">
        <w:rPr>
          <w:rFonts w:ascii="Times New Roman" w:hAnsi="Times New Roman" w:cs="Times New Roman"/>
          <w:b/>
          <w:sz w:val="24"/>
          <w:szCs w:val="24"/>
        </w:rPr>
        <w:t xml:space="preserve">Tata Cara </w:t>
      </w:r>
      <w:proofErr w:type="spellStart"/>
      <w:r w:rsidRPr="00852305">
        <w:rPr>
          <w:rFonts w:ascii="Times New Roman" w:hAnsi="Times New Roman" w:cs="Times New Roman"/>
          <w:b/>
          <w:sz w:val="24"/>
          <w:szCs w:val="24"/>
        </w:rPr>
        <w:t>Memandikan</w:t>
      </w:r>
      <w:proofErr w:type="spellEnd"/>
      <w:r w:rsidRPr="00852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b/>
          <w:sz w:val="24"/>
          <w:szCs w:val="24"/>
        </w:rPr>
        <w:t>Jenazah</w:t>
      </w:r>
      <w:proofErr w:type="spellEnd"/>
    </w:p>
    <w:p w:rsidR="00852305" w:rsidRDefault="0013205E" w:rsidP="0085230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ketetuan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mengada-ada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52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sunah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mengeringkan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.</w:t>
      </w:r>
    </w:p>
    <w:p w:rsidR="00852305" w:rsidRPr="00852305" w:rsidRDefault="0013205E" w:rsidP="00132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305">
        <w:rPr>
          <w:rFonts w:ascii="Times New Roman" w:hAnsi="Times New Roman" w:cs="Times New Roman"/>
          <w:sz w:val="24"/>
          <w:szCs w:val="24"/>
        </w:rPr>
        <w:t>Persiapan</w:t>
      </w:r>
      <w:proofErr w:type="spellEnd"/>
    </w:p>
    <w:p w:rsidR="00852305" w:rsidRPr="00852305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mensucikan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handuk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wangi-wangian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barus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lain-lain</w:t>
      </w:r>
    </w:p>
    <w:p w:rsidR="00852305" w:rsidRPr="00852305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adadisitu</w:t>
      </w:r>
      <w:proofErr w:type="spellEnd"/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305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kafan</w:t>
      </w:r>
      <w:proofErr w:type="spellEnd"/>
      <w:r w:rsidRPr="0085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05">
        <w:rPr>
          <w:rFonts w:ascii="Times New Roman" w:hAnsi="Times New Roman" w:cs="Times New Roman"/>
          <w:sz w:val="24"/>
          <w:szCs w:val="24"/>
        </w:rPr>
        <w:t>secukupnya</w:t>
      </w:r>
      <w:proofErr w:type="spellEnd"/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Usahakanlah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74A7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lelaki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lelaki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istrinya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suaminya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A71">
        <w:rPr>
          <w:rFonts w:ascii="Times New Roman" w:hAnsi="Times New Roman" w:cs="Times New Roman"/>
          <w:sz w:val="24"/>
          <w:szCs w:val="24"/>
        </w:rPr>
        <w:t>kias</w:t>
      </w:r>
      <w:proofErr w:type="spellEnd"/>
      <w:proofErr w:type="gram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tuanya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lainjenis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>.</w:t>
      </w:r>
    </w:p>
    <w:p w:rsidR="00A74A71" w:rsidRPr="00A74A71" w:rsidRDefault="00A74A71" w:rsidP="00A74A7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71" w:rsidRPr="00A74A71" w:rsidRDefault="0013205E" w:rsidP="00132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71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Niatkarena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Allah SWT</w:t>
      </w:r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Membalut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aurat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badannya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lastRenderedPageBreak/>
        <w:t>dilepaskan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terturup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auratnya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Membersihkannya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merogohnya</w:t>
      </w:r>
      <w:proofErr w:type="spellEnd"/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palsunya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rongga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mulutnya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>, kuku-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kukunya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najis</w:t>
      </w:r>
      <w:proofErr w:type="spellEnd"/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wudlunya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mendahulukan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menyiramnya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lima,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sopan</w:t>
      </w:r>
      <w:proofErr w:type="spellEnd"/>
    </w:p>
    <w:p w:rsidR="00A74A71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siraman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wangi-wangian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barus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bidara</w:t>
      </w:r>
      <w:proofErr w:type="spellEnd"/>
    </w:p>
    <w:p w:rsidR="0013205E" w:rsidRPr="00A74A71" w:rsidRDefault="0013205E" w:rsidP="0013205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Mengeringkan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handuk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wangi-wangian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berambut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dikepang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rambutnya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>.</w:t>
      </w:r>
    </w:p>
    <w:p w:rsidR="00A74A71" w:rsidRDefault="00A74A71" w:rsidP="00132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71" w:rsidRDefault="0013205E" w:rsidP="00A74A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05E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4A71" w:rsidRDefault="00A74A71" w:rsidP="001320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r w:rsidR="0013205E" w:rsidRPr="00A74A7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peperangan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membela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agama Allah,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dimakamkan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pakaiannya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dimandikan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dikafani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5E" w:rsidRPr="00A74A71">
        <w:rPr>
          <w:rFonts w:ascii="Times New Roman" w:hAnsi="Times New Roman" w:cs="Times New Roman"/>
          <w:sz w:val="24"/>
          <w:szCs w:val="24"/>
        </w:rPr>
        <w:t>disholatkan</w:t>
      </w:r>
      <w:proofErr w:type="spellEnd"/>
      <w:r w:rsidR="0013205E" w:rsidRPr="00A74A71">
        <w:rPr>
          <w:rFonts w:ascii="Times New Roman" w:hAnsi="Times New Roman" w:cs="Times New Roman"/>
          <w:sz w:val="24"/>
          <w:szCs w:val="24"/>
        </w:rPr>
        <w:t>)</w:t>
      </w:r>
    </w:p>
    <w:p w:rsidR="00A74A71" w:rsidRDefault="0013205E" w:rsidP="001320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wafat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berihram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wewangian</w:t>
      </w:r>
      <w:proofErr w:type="spellEnd"/>
    </w:p>
    <w:p w:rsidR="00A74A71" w:rsidRDefault="0013205E" w:rsidP="001320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syahid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peperangan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membela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agama Allah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tenggelam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A74A71" w:rsidRDefault="0013205E" w:rsidP="001320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A74A71" w:rsidRDefault="0013205E" w:rsidP="001320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tayamum</w:t>
      </w:r>
      <w:proofErr w:type="spellEnd"/>
    </w:p>
    <w:p w:rsidR="00191021" w:rsidRDefault="0013205E" w:rsidP="001320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A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disunnahkan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71">
        <w:rPr>
          <w:rFonts w:ascii="Times New Roman" w:hAnsi="Times New Roman" w:cs="Times New Roman"/>
          <w:sz w:val="24"/>
          <w:szCs w:val="24"/>
        </w:rPr>
        <w:t>mandi</w:t>
      </w:r>
      <w:proofErr w:type="spellEnd"/>
    </w:p>
    <w:p w:rsidR="00AB55D2" w:rsidRDefault="00AB55D2" w:rsidP="00AB5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D2" w:rsidRDefault="00AB55D2" w:rsidP="00AB5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D2">
        <w:rPr>
          <w:rFonts w:ascii="Times New Roman" w:hAnsi="Times New Roman" w:cs="Times New Roman"/>
          <w:b/>
          <w:sz w:val="24"/>
          <w:szCs w:val="24"/>
        </w:rPr>
        <w:lastRenderedPageBreak/>
        <w:t>TASAWUF</w:t>
      </w:r>
    </w:p>
    <w:p w:rsidR="00AB55D2" w:rsidRDefault="00AB55D2" w:rsidP="00AB5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65" w:rsidRDefault="00AB55D2" w:rsidP="00E81D65">
      <w:pPr>
        <w:pStyle w:val="ListParagraph"/>
        <w:numPr>
          <w:ilvl w:val="2"/>
          <w:numId w:val="3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D65">
        <w:rPr>
          <w:rFonts w:ascii="Times New Roman" w:hAnsi="Times New Roman" w:cs="Times New Roman"/>
          <w:b/>
          <w:sz w:val="24"/>
          <w:szCs w:val="24"/>
        </w:rPr>
        <w:t>Taswuf</w:t>
      </w:r>
      <w:proofErr w:type="spellEnd"/>
      <w:r w:rsidRPr="00E81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E81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b/>
          <w:sz w:val="24"/>
          <w:szCs w:val="24"/>
        </w:rPr>
        <w:t>pandangan</w:t>
      </w:r>
      <w:proofErr w:type="spellEnd"/>
      <w:r w:rsidRPr="00E81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b/>
          <w:sz w:val="24"/>
          <w:szCs w:val="24"/>
        </w:rPr>
        <w:t>muhammadiyah</w:t>
      </w:r>
      <w:proofErr w:type="spellEnd"/>
    </w:p>
    <w:p w:rsidR="00E81D65" w:rsidRDefault="00E81D65" w:rsidP="00E81D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asawuf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diselewengkan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tarekat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praktik-praktik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ritual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D6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i/>
          <w:iCs/>
          <w:sz w:val="24"/>
          <w:szCs w:val="24"/>
        </w:rPr>
        <w:t>tawash-shulan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yasinan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tahlilan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manaqiban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dipunyai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amalan-amalan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Amalan-amalan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akhlaq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terpuji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sunnat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wirid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Muhammadiyah.</w:t>
      </w:r>
      <w:proofErr w:type="spellEnd"/>
      <w:proofErr w:type="gramEnd"/>
    </w:p>
    <w:p w:rsidR="00E81D65" w:rsidRDefault="00E81D65" w:rsidP="00E81D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substantive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1D65" w:rsidRDefault="00E81D65" w:rsidP="00E81D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D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total,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yag</w:t>
      </w:r>
      <w:proofErr w:type="spellEnd"/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akomodatif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total.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direkayasa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mengada-ada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kacau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1D65" w:rsidRPr="00E81D65" w:rsidRDefault="00E81D65" w:rsidP="00E81D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lastRenderedPageBreak/>
        <w:t>dzikir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Islam.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Rosulullah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akomodatif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D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terminology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Mulkhan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Abdullah.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Muhamadiyah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Spiritualitas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1D65">
        <w:rPr>
          <w:rFonts w:ascii="Times New Roman" w:hAnsi="Times New Roman" w:cs="Times New Roman"/>
          <w:sz w:val="24"/>
          <w:szCs w:val="24"/>
        </w:rPr>
        <w:t>Syariahistik</w:t>
      </w:r>
      <w:proofErr w:type="spellEnd"/>
      <w:r w:rsidRPr="00E81D65">
        <w:rPr>
          <w:rFonts w:ascii="Times New Roman" w:hAnsi="Times New Roman" w:cs="Times New Roman"/>
          <w:sz w:val="24"/>
          <w:szCs w:val="24"/>
        </w:rPr>
        <w:t>”</w:t>
      </w:r>
    </w:p>
    <w:p w:rsidR="00E81D65" w:rsidRPr="00E81D65" w:rsidRDefault="00E81D65" w:rsidP="00E81D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1D65" w:rsidRPr="00E81D65" w:rsidSect="0013205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026E"/>
    <w:multiLevelType w:val="hybridMultilevel"/>
    <w:tmpl w:val="BE84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2C21"/>
    <w:multiLevelType w:val="hybridMultilevel"/>
    <w:tmpl w:val="68CE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954"/>
    <w:multiLevelType w:val="hybridMultilevel"/>
    <w:tmpl w:val="A35A2BB6"/>
    <w:lvl w:ilvl="0" w:tplc="F18C4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41A6A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8A72A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A30CF"/>
    <w:multiLevelType w:val="hybridMultilevel"/>
    <w:tmpl w:val="C73CC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A56"/>
    <w:multiLevelType w:val="hybridMultilevel"/>
    <w:tmpl w:val="CB46E29C"/>
    <w:lvl w:ilvl="0" w:tplc="F18C4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205E"/>
    <w:rsid w:val="0013205E"/>
    <w:rsid w:val="00191021"/>
    <w:rsid w:val="00613D19"/>
    <w:rsid w:val="00725C28"/>
    <w:rsid w:val="007C5849"/>
    <w:rsid w:val="00852305"/>
    <w:rsid w:val="0086676D"/>
    <w:rsid w:val="00A74A71"/>
    <w:rsid w:val="00AB55D2"/>
    <w:rsid w:val="00C83941"/>
    <w:rsid w:val="00E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05E"/>
    <w:pPr>
      <w:ind w:left="720"/>
      <w:contextualSpacing/>
    </w:pPr>
  </w:style>
  <w:style w:type="paragraph" w:styleId="NoSpacing">
    <w:name w:val="No Spacing"/>
    <w:uiPriority w:val="1"/>
    <w:qFormat/>
    <w:rsid w:val="00A74A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</dc:creator>
  <cp:lastModifiedBy>ICAS</cp:lastModifiedBy>
  <cp:revision>2</cp:revision>
  <dcterms:created xsi:type="dcterms:W3CDTF">2013-01-14T07:45:00Z</dcterms:created>
  <dcterms:modified xsi:type="dcterms:W3CDTF">2013-01-14T07:45:00Z</dcterms:modified>
</cp:coreProperties>
</file>